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DF5F">
      <w:pPr>
        <w:jc w:val="center"/>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明德楼215大学生活动室</w:t>
      </w:r>
    </w:p>
    <w:p w14:paraId="41F7FE74">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管理使用办法及细则</w:t>
      </w:r>
    </w:p>
    <w:p w14:paraId="61E971CB">
      <w:pPr>
        <w:spacing w:line="360" w:lineRule="auto"/>
        <w:jc w:val="left"/>
        <w:rPr>
          <w:rFonts w:hint="eastAsia" w:ascii="黑体" w:hAnsi="黑体" w:eastAsia="黑体" w:cs="楷体_GB2312"/>
          <w:b/>
          <w:bCs/>
          <w:sz w:val="30"/>
          <w:szCs w:val="30"/>
        </w:rPr>
      </w:pPr>
      <w:r>
        <w:rPr>
          <w:rFonts w:hint="eastAsia" w:ascii="黑体" w:hAnsi="黑体" w:eastAsia="黑体" w:cs="仿宋_GB2312"/>
          <w:b/>
          <w:bCs/>
          <w:sz w:val="30"/>
          <w:szCs w:val="30"/>
        </w:rPr>
        <w:t>一、明德楼215大学生活动室开放申请活动室管理使用办法</w:t>
      </w:r>
    </w:p>
    <w:p w14:paraId="53BF67CA">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1、校学生会文体中心负责215大学生活动室日常借用管理及内部设备维护工作。</w:t>
      </w:r>
    </w:p>
    <w:p w14:paraId="70FD9190">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2、215大学生活动室的借用面向学校各部门中心、各学院团委、学生会、学生社团组织开放，不接受个人（私人行为）、班级活动等预约。</w:t>
      </w:r>
    </w:p>
    <w:p w14:paraId="4AC631B4">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3、215大学生活动室实行预约登记制度，依照预约时间先后安排、重大活动优先、先学校后学院和学生会、学生社团为原则。并由校学生会文体活动部安排专人负责处理预约申请及相关资料的归档。</w:t>
      </w:r>
    </w:p>
    <w:p w14:paraId="306DB1EA">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4、使用单位必须如实填写《明德楼215大学生活动室使用申请表》（附件1）的各项内容，并提交经所在单位核准盖章的书面申请表格。</w:t>
      </w:r>
    </w:p>
    <w:p w14:paraId="7B4F2A95">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5、使用单位必须遵守215大学生活动室使用细则，确保活动室物品、器材完好，如损坏场地或设备，须按价赔偿。</w:t>
      </w:r>
    </w:p>
    <w:p w14:paraId="27218865">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6、215大学生活动室仅承接一般日常活动，如开会、社团活动、比赛等。禁止一切违反规定、不利于学生身心健康的活动。</w:t>
      </w:r>
    </w:p>
    <w:p w14:paraId="442AB770">
      <w:pPr>
        <w:spacing w:line="360" w:lineRule="auto"/>
        <w:jc w:val="left"/>
        <w:rPr>
          <w:rFonts w:hint="eastAsia" w:ascii="黑体" w:hAnsi="黑体" w:eastAsia="黑体" w:cs="仿宋_GB2312"/>
          <w:b/>
          <w:bCs/>
          <w:sz w:val="30"/>
          <w:szCs w:val="30"/>
        </w:rPr>
      </w:pPr>
      <w:r>
        <w:rPr>
          <w:rFonts w:hint="eastAsia" w:ascii="黑体" w:hAnsi="黑体" w:eastAsia="黑体" w:cs="仿宋_GB2312"/>
          <w:b/>
          <w:bCs/>
          <w:sz w:val="30"/>
          <w:szCs w:val="30"/>
        </w:rPr>
        <w:t>二、明德楼215大学生活动室申请使用细则</w:t>
      </w:r>
    </w:p>
    <w:p w14:paraId="35CC12AA">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1、预约须至少提前三日、至多提前十五日。遵守预约时间先后安排、重大活动优先、先学校后学院和学生会、学生社团为原则。特殊情况除外。</w:t>
      </w:r>
    </w:p>
    <w:p w14:paraId="70F4C877">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2、申请单位根据实际情况填写《明德楼215大学生活动室使用申请表》，经由所在部门盖章，并提前交至明德楼3</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办公室。申请单位可预先向校学生会文体中心咨询所用场地及时间等情况。</w:t>
      </w:r>
    </w:p>
    <w:p w14:paraId="79BB6CB8">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3、215大学生活动室管理人员根据使用时间提前15分钟开门。如有特殊要求，请使用者需提前说明。需如提前布置会场或进行彩排，开门时间以不影响上一场活动为原则。</w:t>
      </w:r>
    </w:p>
    <w:p w14:paraId="2646D9D6">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4、活动完毕，215大学生活动室管理人员在使用单位负责人在场的情况下清点活动中心设施是否完好，如有损坏，根据具体情况，使用单位应承担相应责任，并按价进行赔偿。</w:t>
      </w:r>
    </w:p>
    <w:p w14:paraId="071FBE7D">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5、使用完毕后，215大学生活动室管理人员负责关闭电源，锁好门窗。</w:t>
      </w:r>
    </w:p>
    <w:p w14:paraId="082477CC">
      <w:pPr>
        <w:spacing w:line="360" w:lineRule="auto"/>
        <w:jc w:val="left"/>
        <w:rPr>
          <w:rFonts w:hint="eastAsia" w:ascii="仿宋_GB2312" w:hAnsi="仿宋_GB2312" w:eastAsia="仿宋_GB2312" w:cs="仿宋_GB2312"/>
          <w:sz w:val="30"/>
          <w:szCs w:val="30"/>
        </w:rPr>
      </w:pPr>
      <w:r>
        <w:rPr>
          <w:rFonts w:hint="eastAsia" w:ascii="黑体" w:hAnsi="黑体" w:eastAsia="黑体" w:cs="仿宋_GB2312"/>
          <w:b/>
          <w:bCs/>
          <w:sz w:val="30"/>
          <w:szCs w:val="30"/>
        </w:rPr>
        <w:t>三、大学生活动室开放申请活动室管理细则</w:t>
      </w:r>
    </w:p>
    <w:p w14:paraId="7A14781D">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1、215大学生活动室提倡积极健康学生活动，不得进行违法乱纪活动。</w:t>
      </w:r>
    </w:p>
    <w:p w14:paraId="7E50FAC6">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申请使用单位在活动期间对演职人员及观众的人身财产安全负责，须有专人在现场负责维持秩序及引导疏散人群。</w:t>
      </w:r>
    </w:p>
    <w:p w14:paraId="03B18315">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3、需爱惜公物，确保活动室设备仪器的完好无损。</w:t>
      </w:r>
    </w:p>
    <w:p w14:paraId="4BFE6790">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4、场地内所有音响及多媒体设备必须在215大学生活动室专职工作人员在场情况下操作，任何使用方只能在活动前提出使用要求，不得擅自直接进行操作。</w:t>
      </w:r>
    </w:p>
    <w:p w14:paraId="79D7DC38">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5、申请使用单位不得在215大学生活动室使用各类钉子、涂料、双面胶等工具。</w:t>
      </w:r>
    </w:p>
    <w:p w14:paraId="69285989">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6、215大学生活动室不得使用明火、冷焰火等可能造成安全隐患的物品，不得携带使用违章电器。</w:t>
      </w:r>
    </w:p>
    <w:p w14:paraId="4BFFCD16">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7、使用期间有突发状况，请及时联络活动中心管理人员。</w:t>
      </w:r>
    </w:p>
    <w:p w14:paraId="35F4AB06">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8、场地使用完毕后，由使用单位负责活动场所的卫生清理并恢复原状。</w:t>
      </w:r>
    </w:p>
    <w:p w14:paraId="44100B4F">
      <w:pPr>
        <w:spacing w:line="360" w:lineRule="auto"/>
        <w:jc w:val="left"/>
        <w:rPr>
          <w:rFonts w:hint="eastAsia" w:ascii="仿宋_GB2312" w:hAnsi="仿宋_GB2312" w:eastAsia="仿宋_GB2312" w:cs="仿宋_GB2312"/>
          <w:sz w:val="30"/>
          <w:szCs w:val="30"/>
        </w:rPr>
      </w:pPr>
    </w:p>
    <w:p w14:paraId="121F72FA">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湖州师范</w:t>
      </w:r>
      <w:r>
        <w:rPr>
          <w:rFonts w:hint="eastAsia" w:ascii="仿宋_GB2312" w:hAnsi="仿宋_GB2312" w:eastAsia="仿宋_GB2312" w:cs="仿宋_GB2312"/>
          <w:sz w:val="32"/>
          <w:szCs w:val="32"/>
          <w:lang w:val="en-US" w:eastAsia="zh-CN"/>
        </w:rPr>
        <w:t>大学</w:t>
      </w:r>
      <w:r>
        <w:rPr>
          <w:rFonts w:hint="eastAsia" w:ascii="仿宋_GB2312" w:hAnsi="仿宋_GB2312" w:eastAsia="仿宋_GB2312" w:cs="仿宋_GB2312"/>
          <w:sz w:val="32"/>
          <w:szCs w:val="32"/>
        </w:rPr>
        <w:t>校学生会文体中心</w:t>
      </w:r>
    </w:p>
    <w:p w14:paraId="333B5C03">
      <w:pPr>
        <w:wordWrap w:val="0"/>
        <w:spacing w:line="360" w:lineRule="auto"/>
        <w:jc w:val="right"/>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活动室管理人员：邹梓焱 13925215834</w:t>
      </w:r>
    </w:p>
    <w:p w14:paraId="148D8AC2">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2025年11月</w:t>
      </w:r>
    </w:p>
    <w:p w14:paraId="3FA2F122">
      <w:pPr>
        <w:jc w:val="left"/>
        <w:rPr>
          <w:rFonts w:hint="eastAsia" w:ascii="仿宋_GB2312" w:hAnsi="仿宋_GB2312" w:eastAsia="仿宋_GB2312" w:cs="仿宋_GB2312"/>
          <w:sz w:val="30"/>
          <w:szCs w:val="30"/>
        </w:rPr>
      </w:pPr>
    </w:p>
    <w:p w14:paraId="05690B33">
      <w:pPr>
        <w:jc w:val="left"/>
        <w:rPr>
          <w:rFonts w:hint="eastAsia" w:ascii="仿宋_GB2312" w:hAnsi="仿宋_GB2312" w:eastAsia="仿宋_GB2312" w:cs="仿宋_GB2312"/>
          <w:sz w:val="30"/>
          <w:szCs w:val="30"/>
        </w:rPr>
      </w:pPr>
    </w:p>
    <w:p w14:paraId="5ABB02EF">
      <w:pPr>
        <w:jc w:val="left"/>
        <w:rPr>
          <w:rFonts w:ascii="仿宋_GB2312" w:hAnsi="仿宋_GB2312" w:eastAsia="仿宋_GB2312" w:cs="仿宋_GB2312"/>
          <w:sz w:val="30"/>
          <w:szCs w:val="30"/>
        </w:rPr>
      </w:pPr>
    </w:p>
    <w:p w14:paraId="04B14DA5">
      <w:pPr>
        <w:jc w:val="left"/>
        <w:rPr>
          <w:rFonts w:ascii="仿宋_GB2312" w:hAnsi="仿宋_GB2312" w:eastAsia="仿宋_GB2312" w:cs="仿宋_GB2312"/>
          <w:sz w:val="30"/>
          <w:szCs w:val="30"/>
        </w:rPr>
      </w:pPr>
    </w:p>
    <w:p w14:paraId="0BD2A0FD">
      <w:pPr>
        <w:jc w:val="left"/>
        <w:rPr>
          <w:rFonts w:ascii="仿宋_GB2312" w:hAnsi="仿宋_GB2312" w:eastAsia="仿宋_GB2312" w:cs="仿宋_GB2312"/>
          <w:sz w:val="30"/>
          <w:szCs w:val="30"/>
        </w:rPr>
      </w:pPr>
    </w:p>
    <w:p w14:paraId="29F89D5E">
      <w:pPr>
        <w:jc w:val="left"/>
        <w:rPr>
          <w:rFonts w:ascii="仿宋_GB2312" w:hAnsi="仿宋_GB2312" w:eastAsia="仿宋_GB2312" w:cs="仿宋_GB2312"/>
          <w:sz w:val="30"/>
          <w:szCs w:val="30"/>
        </w:rPr>
      </w:pPr>
    </w:p>
    <w:p w14:paraId="1677F4C0">
      <w:pPr>
        <w:jc w:val="left"/>
        <w:rPr>
          <w:rFonts w:ascii="仿宋_GB2312" w:hAnsi="仿宋_GB2312" w:eastAsia="仿宋_GB2312" w:cs="仿宋_GB2312"/>
          <w:sz w:val="30"/>
          <w:szCs w:val="30"/>
        </w:rPr>
      </w:pPr>
    </w:p>
    <w:p w14:paraId="602CEEB7">
      <w:pPr>
        <w:jc w:val="left"/>
        <w:rPr>
          <w:rFonts w:ascii="仿宋_GB2312" w:hAnsi="仿宋_GB2312" w:eastAsia="仿宋_GB2312" w:cs="仿宋_GB2312"/>
          <w:sz w:val="30"/>
          <w:szCs w:val="30"/>
        </w:rPr>
      </w:pPr>
    </w:p>
    <w:p w14:paraId="36BEE912">
      <w:pPr>
        <w:jc w:val="left"/>
        <w:rPr>
          <w:rFonts w:ascii="仿宋_GB2312" w:hAnsi="仿宋_GB2312" w:eastAsia="仿宋_GB2312" w:cs="仿宋_GB2312"/>
          <w:sz w:val="30"/>
          <w:szCs w:val="30"/>
        </w:rPr>
      </w:pPr>
    </w:p>
    <w:p w14:paraId="01FA98DB">
      <w:pPr>
        <w:jc w:val="left"/>
        <w:rPr>
          <w:rFonts w:ascii="仿宋_GB2312" w:hAnsi="仿宋_GB2312" w:eastAsia="仿宋_GB2312" w:cs="仿宋_GB2312"/>
          <w:sz w:val="30"/>
          <w:szCs w:val="30"/>
        </w:rPr>
      </w:pPr>
    </w:p>
    <w:p w14:paraId="690987E1">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14:paraId="720D2236">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明德楼215大学生活动室、舞蹈房使用申请表</w:t>
      </w:r>
    </w:p>
    <w:tbl>
      <w:tblPr>
        <w:tblStyle w:val="4"/>
        <w:tblpPr w:leftFromText="180" w:rightFromText="180" w:vertAnchor="page" w:horzAnchor="page" w:tblpXSpec="center" w:tblpY="2835"/>
        <w:tblOverlap w:val="never"/>
        <w:tblW w:w="104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813"/>
        <w:gridCol w:w="37"/>
        <w:gridCol w:w="1622"/>
        <w:gridCol w:w="3578"/>
      </w:tblGrid>
      <w:tr w14:paraId="01ECDA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350" w:type="dxa"/>
            <w:tcBorders>
              <w:tl2br w:val="nil"/>
              <w:tr2bl w:val="nil"/>
            </w:tcBorders>
            <w:vAlign w:val="center"/>
          </w:tcPr>
          <w:p w14:paraId="29873EB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申请单位</w:t>
            </w:r>
          </w:p>
        </w:tc>
        <w:tc>
          <w:tcPr>
            <w:tcW w:w="8050" w:type="dxa"/>
            <w:gridSpan w:val="4"/>
            <w:tcBorders>
              <w:tl2br w:val="nil"/>
              <w:tr2bl w:val="nil"/>
            </w:tcBorders>
            <w:vAlign w:val="center"/>
          </w:tcPr>
          <w:p w14:paraId="447CC70B">
            <w:pPr>
              <w:jc w:val="center"/>
              <w:rPr>
                <w:rFonts w:hint="eastAsia" w:ascii="仿宋_GB2312" w:hAnsi="仿宋_GB2312" w:eastAsia="仿宋_GB2312" w:cs="仿宋_GB2312"/>
                <w:sz w:val="28"/>
                <w:szCs w:val="28"/>
              </w:rPr>
            </w:pPr>
          </w:p>
        </w:tc>
      </w:tr>
      <w:tr w14:paraId="1F4F05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350" w:type="dxa"/>
            <w:tcBorders>
              <w:tl2br w:val="nil"/>
              <w:tr2bl w:val="nil"/>
            </w:tcBorders>
            <w:vAlign w:val="center"/>
          </w:tcPr>
          <w:p w14:paraId="76842A8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活动联系人</w:t>
            </w:r>
          </w:p>
        </w:tc>
        <w:tc>
          <w:tcPr>
            <w:tcW w:w="2813" w:type="dxa"/>
            <w:tcBorders>
              <w:tl2br w:val="nil"/>
              <w:tr2bl w:val="nil"/>
            </w:tcBorders>
            <w:vAlign w:val="center"/>
          </w:tcPr>
          <w:p w14:paraId="475FD628">
            <w:pPr>
              <w:rPr>
                <w:rFonts w:hint="eastAsia" w:ascii="仿宋_GB2312" w:hAnsi="仿宋_GB2312" w:eastAsia="仿宋_GB2312" w:cs="仿宋_GB2312"/>
                <w:sz w:val="28"/>
                <w:szCs w:val="28"/>
              </w:rPr>
            </w:pPr>
          </w:p>
        </w:tc>
        <w:tc>
          <w:tcPr>
            <w:tcW w:w="1659" w:type="dxa"/>
            <w:gridSpan w:val="2"/>
            <w:tcBorders>
              <w:tl2br w:val="nil"/>
              <w:tr2bl w:val="nil"/>
            </w:tcBorders>
            <w:vAlign w:val="center"/>
          </w:tcPr>
          <w:p w14:paraId="42A7A2F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3578" w:type="dxa"/>
            <w:tcBorders>
              <w:tl2br w:val="nil"/>
              <w:tr2bl w:val="nil"/>
            </w:tcBorders>
            <w:vAlign w:val="center"/>
          </w:tcPr>
          <w:p w14:paraId="34237675">
            <w:pPr>
              <w:rPr>
                <w:rFonts w:hint="eastAsia" w:ascii="仿宋_GB2312" w:hAnsi="仿宋_GB2312" w:eastAsia="仿宋_GB2312" w:cs="仿宋_GB2312"/>
                <w:sz w:val="28"/>
                <w:szCs w:val="28"/>
              </w:rPr>
            </w:pPr>
          </w:p>
          <w:p w14:paraId="4F843E18">
            <w:pPr>
              <w:rPr>
                <w:rFonts w:hint="eastAsia" w:ascii="仿宋_GB2312" w:hAnsi="仿宋_GB2312" w:eastAsia="仿宋_GB2312" w:cs="仿宋_GB2312"/>
                <w:sz w:val="28"/>
                <w:szCs w:val="28"/>
              </w:rPr>
            </w:pPr>
          </w:p>
        </w:tc>
      </w:tr>
      <w:tr w14:paraId="71570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2350" w:type="dxa"/>
            <w:tcBorders>
              <w:tl2br w:val="nil"/>
              <w:tr2bl w:val="nil"/>
            </w:tcBorders>
            <w:vAlign w:val="center"/>
          </w:tcPr>
          <w:p w14:paraId="3593A1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场地选择</w:t>
            </w:r>
          </w:p>
        </w:tc>
        <w:tc>
          <w:tcPr>
            <w:tcW w:w="8050" w:type="dxa"/>
            <w:gridSpan w:val="4"/>
            <w:tcBorders>
              <w:tl2br w:val="nil"/>
              <w:tr2bl w:val="nil"/>
            </w:tcBorders>
            <w:vAlign w:val="center"/>
          </w:tcPr>
          <w:p w14:paraId="7B9DD7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□215报告厅     □210舞蹈房    □212舞蹈房</w:t>
            </w:r>
          </w:p>
        </w:tc>
      </w:tr>
      <w:tr w14:paraId="1617A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350" w:type="dxa"/>
            <w:tcBorders>
              <w:tl2br w:val="nil"/>
              <w:tr2bl w:val="nil"/>
            </w:tcBorders>
            <w:vAlign w:val="center"/>
          </w:tcPr>
          <w:p w14:paraId="31E04F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活动起止时间</w:t>
            </w:r>
          </w:p>
        </w:tc>
        <w:tc>
          <w:tcPr>
            <w:tcW w:w="8050" w:type="dxa"/>
            <w:gridSpan w:val="4"/>
            <w:tcBorders>
              <w:tl2br w:val="nil"/>
              <w:tr2bl w:val="nil"/>
            </w:tcBorders>
            <w:vAlign w:val="center"/>
          </w:tcPr>
          <w:p w14:paraId="05512C28">
            <w:pPr>
              <w:jc w:val="center"/>
              <w:rPr>
                <w:rFonts w:hint="eastAsia" w:ascii="仿宋_GB2312" w:hAnsi="仿宋_GB2312" w:eastAsia="仿宋_GB2312" w:cs="仿宋_GB2312"/>
                <w:sz w:val="28"/>
                <w:szCs w:val="28"/>
              </w:rPr>
            </w:pPr>
          </w:p>
        </w:tc>
      </w:tr>
      <w:tr w14:paraId="481EED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350" w:type="dxa"/>
            <w:tcBorders>
              <w:tl2br w:val="nil"/>
              <w:tr2bl w:val="nil"/>
            </w:tcBorders>
            <w:vAlign w:val="center"/>
          </w:tcPr>
          <w:p w14:paraId="23C947E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活动人数</w:t>
            </w:r>
          </w:p>
        </w:tc>
        <w:tc>
          <w:tcPr>
            <w:tcW w:w="2813" w:type="dxa"/>
            <w:tcBorders>
              <w:tl2br w:val="nil"/>
              <w:tr2bl w:val="nil"/>
            </w:tcBorders>
            <w:vAlign w:val="center"/>
          </w:tcPr>
          <w:p w14:paraId="7BD930F3">
            <w:pPr>
              <w:jc w:val="center"/>
              <w:rPr>
                <w:rFonts w:hint="eastAsia" w:ascii="仿宋_GB2312" w:hAnsi="仿宋_GB2312" w:eastAsia="仿宋_GB2312" w:cs="仿宋_GB2312"/>
                <w:sz w:val="28"/>
                <w:szCs w:val="28"/>
              </w:rPr>
            </w:pPr>
          </w:p>
        </w:tc>
        <w:tc>
          <w:tcPr>
            <w:tcW w:w="1659" w:type="dxa"/>
            <w:gridSpan w:val="2"/>
            <w:tcBorders>
              <w:tl2br w:val="nil"/>
              <w:tr2bl w:val="nil"/>
            </w:tcBorders>
            <w:vAlign w:val="center"/>
          </w:tcPr>
          <w:p w14:paraId="5637E3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活动类型</w:t>
            </w:r>
          </w:p>
        </w:tc>
        <w:tc>
          <w:tcPr>
            <w:tcW w:w="3578" w:type="dxa"/>
            <w:tcBorders>
              <w:tl2br w:val="nil"/>
              <w:tr2bl w:val="nil"/>
            </w:tcBorders>
            <w:vAlign w:val="center"/>
          </w:tcPr>
          <w:p w14:paraId="390D23B0">
            <w:pPr>
              <w:jc w:val="center"/>
              <w:rPr>
                <w:rFonts w:hint="eastAsia" w:ascii="仿宋_GB2312" w:hAnsi="仿宋_GB2312" w:eastAsia="仿宋_GB2312" w:cs="仿宋_GB2312"/>
                <w:sz w:val="28"/>
                <w:szCs w:val="28"/>
              </w:rPr>
            </w:pPr>
          </w:p>
        </w:tc>
      </w:tr>
      <w:tr w14:paraId="32482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2350" w:type="dxa"/>
            <w:tcBorders>
              <w:tl2br w:val="nil"/>
              <w:tr2bl w:val="nil"/>
            </w:tcBorders>
            <w:vAlign w:val="center"/>
          </w:tcPr>
          <w:p w14:paraId="6597B9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活动主题内容</w:t>
            </w:r>
          </w:p>
        </w:tc>
        <w:tc>
          <w:tcPr>
            <w:tcW w:w="8050" w:type="dxa"/>
            <w:gridSpan w:val="4"/>
            <w:tcBorders>
              <w:tl2br w:val="nil"/>
              <w:tr2bl w:val="nil"/>
            </w:tcBorders>
            <w:vAlign w:val="center"/>
          </w:tcPr>
          <w:p w14:paraId="08A16263">
            <w:pPr>
              <w:rPr>
                <w:rFonts w:hint="eastAsia" w:ascii="仿宋_GB2312" w:hAnsi="仿宋_GB2312" w:eastAsia="仿宋_GB2312" w:cs="仿宋_GB2312"/>
                <w:sz w:val="28"/>
                <w:szCs w:val="28"/>
              </w:rPr>
            </w:pPr>
          </w:p>
        </w:tc>
      </w:tr>
      <w:tr w14:paraId="764BAB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2350" w:type="dxa"/>
            <w:tcBorders>
              <w:tl2br w:val="nil"/>
              <w:tr2bl w:val="nil"/>
            </w:tcBorders>
            <w:vAlign w:val="center"/>
          </w:tcPr>
          <w:p w14:paraId="165622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活动所需设备</w:t>
            </w:r>
          </w:p>
        </w:tc>
        <w:tc>
          <w:tcPr>
            <w:tcW w:w="8050" w:type="dxa"/>
            <w:gridSpan w:val="4"/>
            <w:tcBorders>
              <w:tl2br w:val="nil"/>
              <w:tr2bl w:val="nil"/>
            </w:tcBorders>
            <w:vAlign w:val="center"/>
          </w:tcPr>
          <w:p w14:paraId="0180CFE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□投影仪          □舞台灯          □音  响   </w:t>
            </w:r>
          </w:p>
          <w:p w14:paraId="45B3F5A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□话  筒</w:t>
            </w:r>
            <w:r>
              <w:rPr>
                <w:rFonts w:hint="eastAsia"/>
              </w:rPr>
              <w:t>（2个）</w:t>
            </w:r>
            <w:r>
              <w:rPr>
                <w:rFonts w:hint="eastAsia" w:ascii="仿宋_GB2312" w:hAnsi="仿宋_GB2312" w:eastAsia="仿宋_GB2312" w:cs="仿宋_GB2312"/>
                <w:sz w:val="28"/>
                <w:szCs w:val="28"/>
              </w:rPr>
              <w:t>（备注数量)</w:t>
            </w:r>
            <w:r>
              <w:rPr>
                <w:rFonts w:hint="eastAsia" w:ascii="仿宋_GB2312" w:hAnsi="仿宋_GB2312" w:eastAsia="仿宋_GB2312" w:cs="仿宋_GB2312"/>
                <w:sz w:val="28"/>
                <w:szCs w:val="28"/>
                <w:u w:val="single"/>
              </w:rPr>
              <w:t xml:space="preserve">          </w:t>
            </w:r>
          </w:p>
          <w:p w14:paraId="23E3FEB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□会议桌（5张）（备注数量)</w:t>
            </w:r>
            <w:r>
              <w:rPr>
                <w:rFonts w:hint="eastAsia" w:ascii="仿宋_GB2312" w:hAnsi="仿宋_GB2312" w:eastAsia="仿宋_GB2312" w:cs="仿宋_GB2312"/>
                <w:sz w:val="28"/>
                <w:szCs w:val="28"/>
                <w:u w:val="single"/>
              </w:rPr>
              <w:t xml:space="preserve">               </w:t>
            </w:r>
          </w:p>
          <w:p w14:paraId="7CB022E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□会议椅（60张）（备注数量)</w:t>
            </w:r>
            <w:r>
              <w:rPr>
                <w:rFonts w:hint="eastAsia" w:ascii="仿宋_GB2312" w:hAnsi="仿宋_GB2312" w:eastAsia="仿宋_GB2312" w:cs="仿宋_GB2312"/>
                <w:sz w:val="28"/>
                <w:szCs w:val="28"/>
                <w:u w:val="single"/>
              </w:rPr>
              <w:t xml:space="preserve">               </w:t>
            </w:r>
          </w:p>
          <w:p w14:paraId="0C38B3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  他</w:t>
            </w:r>
            <w:r>
              <w:rPr>
                <w:rFonts w:hint="eastAsia" w:ascii="仿宋_GB2312" w:hAnsi="仿宋_GB2312" w:eastAsia="仿宋_GB2312" w:cs="仿宋_GB2312"/>
                <w:sz w:val="28"/>
                <w:szCs w:val="28"/>
                <w:u w:val="single"/>
              </w:rPr>
              <w:t xml:space="preserve">                          </w:t>
            </w:r>
          </w:p>
        </w:tc>
      </w:tr>
      <w:tr w14:paraId="5E4806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1" w:hRule="exact"/>
          <w:jc w:val="center"/>
        </w:trPr>
        <w:tc>
          <w:tcPr>
            <w:tcW w:w="5200" w:type="dxa"/>
            <w:gridSpan w:val="3"/>
            <w:tcBorders>
              <w:tl2br w:val="nil"/>
              <w:tr2bl w:val="nil"/>
            </w:tcBorders>
            <w:vAlign w:val="center"/>
          </w:tcPr>
          <w:p w14:paraId="4FFEC0C3">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所在部门意见：</w:t>
            </w:r>
          </w:p>
          <w:p w14:paraId="7B35D779">
            <w:pPr>
              <w:spacing w:line="540" w:lineRule="exact"/>
              <w:jc w:val="left"/>
              <w:rPr>
                <w:rFonts w:hint="eastAsia" w:ascii="仿宋_GB2312" w:hAnsi="仿宋_GB2312" w:eastAsia="仿宋_GB2312" w:cs="仿宋_GB2312"/>
                <w:sz w:val="28"/>
                <w:szCs w:val="28"/>
              </w:rPr>
            </w:pPr>
          </w:p>
          <w:p w14:paraId="5B98269B">
            <w:pPr>
              <w:spacing w:line="540" w:lineRule="exact"/>
              <w:jc w:val="left"/>
              <w:rPr>
                <w:rFonts w:hint="eastAsia" w:ascii="仿宋_GB2312" w:hAnsi="仿宋_GB2312" w:eastAsia="仿宋_GB2312" w:cs="仿宋_GB2312"/>
                <w:sz w:val="28"/>
                <w:szCs w:val="28"/>
              </w:rPr>
            </w:pPr>
          </w:p>
          <w:p w14:paraId="770DE6A4">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B5615B7">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p w14:paraId="608BFC4C">
            <w:pPr>
              <w:spacing w:line="5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5200" w:type="dxa"/>
            <w:gridSpan w:val="2"/>
            <w:tcBorders>
              <w:tl2br w:val="nil"/>
              <w:tr2bl w:val="nil"/>
            </w:tcBorders>
            <w:vAlign w:val="center"/>
          </w:tcPr>
          <w:p w14:paraId="755AE252">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校团委意见：</w:t>
            </w:r>
          </w:p>
          <w:p w14:paraId="3AA96783">
            <w:pPr>
              <w:spacing w:line="540" w:lineRule="exact"/>
              <w:jc w:val="left"/>
              <w:rPr>
                <w:rFonts w:hint="eastAsia" w:ascii="仿宋_GB2312" w:hAnsi="仿宋_GB2312" w:eastAsia="仿宋_GB2312" w:cs="仿宋_GB2312"/>
                <w:sz w:val="28"/>
                <w:szCs w:val="28"/>
              </w:rPr>
            </w:pPr>
          </w:p>
          <w:p w14:paraId="0FF4F305">
            <w:pPr>
              <w:spacing w:line="540" w:lineRule="exact"/>
              <w:jc w:val="left"/>
              <w:rPr>
                <w:rFonts w:hint="eastAsia" w:ascii="仿宋_GB2312" w:hAnsi="仿宋_GB2312" w:eastAsia="仿宋_GB2312" w:cs="仿宋_GB2312"/>
                <w:sz w:val="28"/>
                <w:szCs w:val="28"/>
              </w:rPr>
            </w:pPr>
          </w:p>
          <w:p w14:paraId="431BC5E8">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1B842CE0">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p w14:paraId="38BA4DD0">
            <w:pPr>
              <w:ind w:firstLine="3360" w:firstLineChars="1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62528C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E128B"/>
    <w:rsid w:val="000A11BE"/>
    <w:rsid w:val="00100B27"/>
    <w:rsid w:val="00127161"/>
    <w:rsid w:val="001771E9"/>
    <w:rsid w:val="00177B9E"/>
    <w:rsid w:val="00183BA2"/>
    <w:rsid w:val="001A581E"/>
    <w:rsid w:val="001D1ACD"/>
    <w:rsid w:val="001F007C"/>
    <w:rsid w:val="00223F8C"/>
    <w:rsid w:val="0029650A"/>
    <w:rsid w:val="00313651"/>
    <w:rsid w:val="003E6D8D"/>
    <w:rsid w:val="004E174E"/>
    <w:rsid w:val="004F0154"/>
    <w:rsid w:val="005061F7"/>
    <w:rsid w:val="00696230"/>
    <w:rsid w:val="00724317"/>
    <w:rsid w:val="007C5AF1"/>
    <w:rsid w:val="008410FB"/>
    <w:rsid w:val="008A5C8C"/>
    <w:rsid w:val="008F2749"/>
    <w:rsid w:val="009B14BE"/>
    <w:rsid w:val="009B1888"/>
    <w:rsid w:val="009B2E2E"/>
    <w:rsid w:val="00A24153"/>
    <w:rsid w:val="00A4555A"/>
    <w:rsid w:val="00A52F9D"/>
    <w:rsid w:val="00AB39C9"/>
    <w:rsid w:val="00B34F56"/>
    <w:rsid w:val="00BE380B"/>
    <w:rsid w:val="00DC631D"/>
    <w:rsid w:val="00E630AD"/>
    <w:rsid w:val="00F04716"/>
    <w:rsid w:val="00FF3D5A"/>
    <w:rsid w:val="089F2588"/>
    <w:rsid w:val="0E90191B"/>
    <w:rsid w:val="16351FEF"/>
    <w:rsid w:val="171D3A2C"/>
    <w:rsid w:val="1D0D3C74"/>
    <w:rsid w:val="24C71A22"/>
    <w:rsid w:val="29E10391"/>
    <w:rsid w:val="2B470F23"/>
    <w:rsid w:val="33E16AFE"/>
    <w:rsid w:val="46BE2D4A"/>
    <w:rsid w:val="4765491E"/>
    <w:rsid w:val="49014D20"/>
    <w:rsid w:val="5CC15574"/>
    <w:rsid w:val="66CD41B5"/>
    <w:rsid w:val="66FE128B"/>
    <w:rsid w:val="6B087454"/>
    <w:rsid w:val="71633D7E"/>
    <w:rsid w:val="786578EC"/>
    <w:rsid w:val="78880B6F"/>
    <w:rsid w:val="79132376"/>
    <w:rsid w:val="7D93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5D53-319A-4BDE-9B17-B2FF22B5356C}">
  <ds:schemaRefs/>
</ds:datastoreItem>
</file>

<file path=docProps/app.xml><?xml version="1.0" encoding="utf-8"?>
<Properties xmlns="http://schemas.openxmlformats.org/officeDocument/2006/extended-properties" xmlns:vt="http://schemas.openxmlformats.org/officeDocument/2006/docPropsVTypes">
  <Template>Normal</Template>
  <Pages>4</Pages>
  <Words>1268</Words>
  <Characters>1330</Characters>
  <Lines>67</Lines>
  <Paragraphs>58</Paragraphs>
  <TotalTime>6</TotalTime>
  <ScaleCrop>false</ScaleCrop>
  <LinksUpToDate>false</LinksUpToDate>
  <CharactersWithSpaces>1499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2025-11-02T15:12:00Z</dcterms:created>
  <dc:creator>dell</dc:creator>
  <cp:lastModifiedBy>徐梦瑶</cp:lastModifiedBy>
  <dcterms:modified xsi:type="dcterms:W3CDTF">2026-04-18T05:11:57Z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eyJoZGlkIjoiMDAzNDhkYzM3NzMxZTFmZDllN2IzMjRlOWUwNTZlZWYiLCJ1c2VySWQiOiIxNjEwMDU4NTMwIn0=</vt:lpwstr>
  </property>
  <property fmtid="{D5CDD505-2E9C-101B-9397-08002B2CF9AE}" pid="4" name="ICV">
    <vt:lpwstr>C0A71ACF4F0B4B5396D9047233906430_13</vt:lpwstr>
  </property>
</Properties>
</file>